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Дело № 5-860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2612/2024</w:t>
      </w:r>
    </w:p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0067</w:t>
      </w:r>
      <w:r>
        <w:rPr>
          <w:rFonts w:ascii="Times New Roman" w:eastAsia="Times New Roman" w:hAnsi="Times New Roman" w:cs="Times New Roman"/>
          <w:sz w:val="26"/>
          <w:szCs w:val="26"/>
        </w:rPr>
        <w:t>-01-2024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003801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75</w:t>
      </w:r>
    </w:p>
    <w:p>
      <w:pPr>
        <w:spacing w:before="0" w:after="0"/>
        <w:ind w:right="26"/>
        <w:jc w:val="center"/>
        <w:rPr>
          <w:sz w:val="26"/>
          <w:szCs w:val="26"/>
        </w:rPr>
      </w:pP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ind w:right="26"/>
        <w:jc w:val="center"/>
        <w:rPr>
          <w:sz w:val="26"/>
          <w:szCs w:val="26"/>
        </w:rPr>
      </w:pP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апреля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</w:p>
    <w:p>
      <w:pPr>
        <w:spacing w:before="0" w:after="0"/>
        <w:ind w:right="26"/>
        <w:jc w:val="center"/>
        <w:rPr>
          <w:sz w:val="26"/>
          <w:szCs w:val="26"/>
        </w:rPr>
      </w:pPr>
    </w:p>
    <w:p>
      <w:pPr>
        <w:spacing w:before="0" w:after="0"/>
        <w:ind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12 Сургутского судебного района города окружного значения Сургут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>Думлер Г.П.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находящаяся по адресу: г. Сургут, ул. </w:t>
      </w:r>
      <w:r>
        <w:rPr>
          <w:rFonts w:ascii="Times New Roman" w:eastAsia="Times New Roman" w:hAnsi="Times New Roman" w:cs="Times New Roman"/>
          <w:sz w:val="26"/>
          <w:szCs w:val="26"/>
        </w:rPr>
        <w:t>Гагарина, 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40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 участием лица, привлекаемого к административной ответственности,</w:t>
      </w:r>
    </w:p>
    <w:p>
      <w:pPr>
        <w:spacing w:before="0" w:after="0"/>
        <w:ind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материалы дела об административном правонарушении, </w:t>
      </w:r>
      <w:r>
        <w:rPr>
          <w:rFonts w:ascii="Times New Roman" w:eastAsia="Times New Roman" w:hAnsi="Times New Roman" w:cs="Times New Roman"/>
          <w:sz w:val="26"/>
          <w:szCs w:val="26"/>
        </w:rPr>
        <w:t>предусмотренном ст.20.21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в отношении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Кривошеева </w:t>
      </w:r>
      <w:r>
        <w:rPr>
          <w:rStyle w:val="cat-UserDefinedgrp-27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600"/>
        <w:jc w:val="both"/>
        <w:rPr>
          <w:sz w:val="26"/>
          <w:szCs w:val="26"/>
        </w:rPr>
      </w:pP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right="26"/>
        <w:jc w:val="both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Style w:val="cat-UserDefinedgrp-30rplc-1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04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</w:t>
      </w:r>
      <w:r>
        <w:rPr>
          <w:rFonts w:ascii="Times New Roman" w:eastAsia="Times New Roman" w:hAnsi="Times New Roman" w:cs="Times New Roman"/>
          <w:sz w:val="26"/>
          <w:szCs w:val="26"/>
        </w:rPr>
        <w:t>в 16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</w:t>
      </w:r>
      <w:r>
        <w:rPr>
          <w:rFonts w:ascii="Times New Roman" w:eastAsia="Times New Roman" w:hAnsi="Times New Roman" w:cs="Times New Roman"/>
          <w:sz w:val="26"/>
          <w:szCs w:val="26"/>
        </w:rPr>
        <w:t>ут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Кривошеев </w:t>
      </w:r>
      <w:r>
        <w:rPr>
          <w:rStyle w:val="cat-UserDefinedgrp-28rplc-1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находясь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возле </w:t>
      </w:r>
      <w:r>
        <w:rPr>
          <w:rStyle w:val="cat-UserDefinedgrp-29rplc-2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ХМАО-Югры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находился в общественном месте в состоянии опьянения,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имея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шаткую походку,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поведение не соответствовало обстановке, изменение окраса кожных покровов, неустойчивость тела, </w:t>
      </w:r>
      <w:r>
        <w:rPr>
          <w:rFonts w:ascii="Times New Roman" w:eastAsia="Times New Roman" w:hAnsi="Times New Roman" w:cs="Times New Roman"/>
          <w:sz w:val="26"/>
          <w:szCs w:val="26"/>
        </w:rPr>
        <w:t>неопрятный вне</w:t>
      </w:r>
      <w:r>
        <w:rPr>
          <w:rFonts w:ascii="Times New Roman" w:eastAsia="Times New Roman" w:hAnsi="Times New Roman" w:cs="Times New Roman"/>
          <w:sz w:val="26"/>
          <w:szCs w:val="26"/>
        </w:rPr>
        <w:t>шний вид (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грязная одежда)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невнятную речь,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 разговоре исходил </w:t>
      </w:r>
      <w:r>
        <w:rPr>
          <w:rFonts w:ascii="Times New Roman" w:eastAsia="Times New Roman" w:hAnsi="Times New Roman" w:cs="Times New Roman"/>
          <w:sz w:val="26"/>
          <w:szCs w:val="26"/>
        </w:rPr>
        <w:t>резкий запах алкоголя из полости рта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т.е. в виде оскорбляющем человеческое достоинство и общественную нравственность.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судебном </w:t>
      </w:r>
      <w:r>
        <w:rPr>
          <w:rFonts w:ascii="Times New Roman" w:eastAsia="Times New Roman" w:hAnsi="Times New Roman" w:cs="Times New Roman"/>
          <w:sz w:val="26"/>
          <w:szCs w:val="26"/>
        </w:rPr>
        <w:t>заседании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Кривошеев </w:t>
      </w:r>
      <w:r>
        <w:rPr>
          <w:rStyle w:val="cat-UserDefinedgrp-28rplc-2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>ину в совершении правонарушения признал полностью.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>В д</w:t>
      </w:r>
      <w:r>
        <w:rPr>
          <w:rFonts w:ascii="Times New Roman" w:eastAsia="Times New Roman" w:hAnsi="Times New Roman" w:cs="Times New Roman"/>
          <w:sz w:val="26"/>
          <w:szCs w:val="26"/>
        </w:rPr>
        <w:t>оказател</w:t>
      </w:r>
      <w:r>
        <w:rPr>
          <w:rFonts w:ascii="Times New Roman" w:eastAsia="Times New Roman" w:hAnsi="Times New Roman" w:cs="Times New Roman"/>
          <w:sz w:val="26"/>
          <w:szCs w:val="26"/>
        </w:rPr>
        <w:t>ьс</w:t>
      </w:r>
      <w:r>
        <w:rPr>
          <w:rFonts w:ascii="Times New Roman" w:eastAsia="Times New Roman" w:hAnsi="Times New Roman" w:cs="Times New Roman"/>
          <w:sz w:val="26"/>
          <w:szCs w:val="26"/>
        </w:rPr>
        <w:t>тво вины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Кривошеева А.О. </w:t>
      </w:r>
      <w:r>
        <w:rPr>
          <w:rFonts w:ascii="Times New Roman" w:eastAsia="Times New Roman" w:hAnsi="Times New Roman" w:cs="Times New Roman"/>
          <w:sz w:val="26"/>
          <w:szCs w:val="26"/>
        </w:rPr>
        <w:t>суду представлены следующие доказательства: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протокол об адм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нистративном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правонарушении </w:t>
      </w:r>
      <w:r>
        <w:rPr>
          <w:rStyle w:val="cat-UserDefinedgrp-31rplc-2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рапорт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ОБ ППС</w:t>
      </w:r>
      <w:r>
        <w:rPr>
          <w:rFonts w:ascii="Times New Roman" w:eastAsia="Times New Roman" w:hAnsi="Times New Roman" w:cs="Times New Roman"/>
          <w:sz w:val="26"/>
          <w:szCs w:val="26"/>
        </w:rPr>
        <w:t>П УМВД России по г. Сургуту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>протокол о направлении на медицинское освидетельствов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ние на состояние опьянения от </w:t>
      </w:r>
      <w:r>
        <w:rPr>
          <w:rFonts w:ascii="Times New Roman" w:eastAsia="Times New Roman" w:hAnsi="Times New Roman" w:cs="Times New Roman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sz w:val="26"/>
          <w:szCs w:val="26"/>
        </w:rPr>
        <w:t>.04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>г.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>акт медицинского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освидетельствования на состояние опьянения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2rplc-3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установлено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Кривошеева </w:t>
      </w:r>
      <w:r>
        <w:rPr>
          <w:rStyle w:val="cat-UserDefinedgrp-28rplc-3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состояние опьянения;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объяснения </w:t>
      </w:r>
      <w:r>
        <w:rPr>
          <w:rFonts w:ascii="Times New Roman" w:eastAsia="Times New Roman" w:hAnsi="Times New Roman" w:cs="Times New Roman"/>
          <w:sz w:val="26"/>
          <w:szCs w:val="26"/>
        </w:rPr>
        <w:t>Курдова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3rplc-3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5rplc-3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Каких–либо письменных ходатайств о предоставлении доказательств лицом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привлекаемым к административной ответственности в судебном заседании </w:t>
      </w:r>
      <w:r>
        <w:rPr>
          <w:rFonts w:ascii="Times New Roman" w:eastAsia="Times New Roman" w:hAnsi="Times New Roman" w:cs="Times New Roman"/>
          <w:sz w:val="26"/>
          <w:szCs w:val="26"/>
        </w:rPr>
        <w:t>заявлено,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 было.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Оценивая в совокупности представленные доказательства, судья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>Действия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Кривошеева </w:t>
      </w:r>
      <w:r>
        <w:rPr>
          <w:rStyle w:val="cat-UserDefinedgrp-28rplc-4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суд квалифицирует по </w:t>
      </w:r>
      <w:r>
        <w:rPr>
          <w:rFonts w:ascii="Times New Roman" w:eastAsia="Times New Roman" w:hAnsi="Times New Roman" w:cs="Times New Roman"/>
          <w:sz w:val="26"/>
          <w:szCs w:val="26"/>
        </w:rPr>
        <w:t>ст.20.21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 – </w:t>
      </w:r>
      <w:r>
        <w:rPr>
          <w:rFonts w:ascii="Times New Roman" w:eastAsia="Times New Roman" w:hAnsi="Times New Roman" w:cs="Times New Roman"/>
          <w:sz w:val="26"/>
          <w:szCs w:val="26"/>
        </w:rPr>
        <w:t>появление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общественном месте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состоянии опьянения, оскорбляющем человеческое достоинство и общественную нравственность.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24.5 КоАП РФ, исключающих производство по делу об административном правонарушении, не имеется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смягчающих административную ответственность, судом не установлено.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 обстоятельствам, отягчающим административную ответственность суд относит повторное совершение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однородного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административного правонарушения, то есть совершение административного правонарушения в период, когда лицо считается подвергнутым административному наказанию в соответствии со </w:t>
      </w:r>
      <w:hyperlink w:anchor="sub_46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статьей 4.6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настоящего Кодекса за совершение однородного административного правонарушения.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определении меры наказания, суд учитывает характер совершенного административного правонарушения, данные о личности нарушителя, его отношение к содеянному,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связи с чем считает возможным назначить наказание в виде </w:t>
      </w:r>
      <w:r>
        <w:rPr>
          <w:rFonts w:ascii="Times New Roman" w:eastAsia="Times New Roman" w:hAnsi="Times New Roman" w:cs="Times New Roman"/>
          <w:sz w:val="26"/>
          <w:szCs w:val="26"/>
        </w:rPr>
        <w:t>ареста, проверив условия, предусмотренные ст. 3.9 КоАП РФ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right="22"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ст.ст.29.9-29.11 КоАП РФ, мировой судья</w:t>
      </w:r>
    </w:p>
    <w:p>
      <w:pPr>
        <w:spacing w:before="0" w:after="0"/>
        <w:ind w:right="22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right="22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Кривошеева </w:t>
      </w:r>
      <w:r>
        <w:rPr>
          <w:rStyle w:val="cat-UserDefinedgrp-36rplc-4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</w:t>
      </w:r>
      <w:r>
        <w:rPr>
          <w:rFonts w:ascii="Times New Roman" w:eastAsia="Times New Roman" w:hAnsi="Times New Roman" w:cs="Times New Roman"/>
          <w:sz w:val="26"/>
          <w:szCs w:val="26"/>
        </w:rPr>
        <w:t>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sz w:val="26"/>
          <w:szCs w:val="26"/>
        </w:rPr>
        <w:t>ст.20.21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назначить наказание в виде </w:t>
      </w:r>
      <w:r>
        <w:rPr>
          <w:rFonts w:ascii="Times New Roman" w:eastAsia="Times New Roman" w:hAnsi="Times New Roman" w:cs="Times New Roman"/>
          <w:sz w:val="26"/>
          <w:szCs w:val="26"/>
        </w:rPr>
        <w:t>ареста сроком на 1 (одни) сутки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Срок наказания исчислять с момента задержания с 18:35 час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20.04.2024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через мирового судью судебного участка № 12 Сургутского судебного района города окружного значения Сургут Ханты-Мансийского автономного округа – Югры.</w:t>
      </w: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160" w:line="259" w:lineRule="auto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Г.П. Думлер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Style w:val="cat-UserDefinedgrp-37rplc-48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7rplc-8">
    <w:name w:val="cat-UserDefined grp-27 rplc-8"/>
    <w:basedOn w:val="DefaultParagraphFont"/>
  </w:style>
  <w:style w:type="character" w:customStyle="1" w:styleId="cat-UserDefinedgrp-30rplc-15">
    <w:name w:val="cat-UserDefined grp-30 rplc-15"/>
    <w:basedOn w:val="DefaultParagraphFont"/>
  </w:style>
  <w:style w:type="character" w:customStyle="1" w:styleId="cat-UserDefinedgrp-28rplc-19">
    <w:name w:val="cat-UserDefined grp-28 rplc-19"/>
    <w:basedOn w:val="DefaultParagraphFont"/>
  </w:style>
  <w:style w:type="character" w:customStyle="1" w:styleId="cat-UserDefinedgrp-29rplc-20">
    <w:name w:val="cat-UserDefined grp-29 rplc-20"/>
    <w:basedOn w:val="DefaultParagraphFont"/>
  </w:style>
  <w:style w:type="character" w:customStyle="1" w:styleId="cat-UserDefinedgrp-28rplc-24">
    <w:name w:val="cat-UserDefined grp-28 rplc-24"/>
    <w:basedOn w:val="DefaultParagraphFont"/>
  </w:style>
  <w:style w:type="character" w:customStyle="1" w:styleId="cat-UserDefinedgrp-31rplc-26">
    <w:name w:val="cat-UserDefined grp-31 rplc-26"/>
    <w:basedOn w:val="DefaultParagraphFont"/>
  </w:style>
  <w:style w:type="character" w:customStyle="1" w:styleId="cat-UserDefinedgrp-32rplc-30">
    <w:name w:val="cat-UserDefined grp-32 rplc-30"/>
    <w:basedOn w:val="DefaultParagraphFont"/>
  </w:style>
  <w:style w:type="character" w:customStyle="1" w:styleId="cat-UserDefinedgrp-28rplc-34">
    <w:name w:val="cat-UserDefined grp-28 rplc-34"/>
    <w:basedOn w:val="DefaultParagraphFont"/>
  </w:style>
  <w:style w:type="character" w:customStyle="1" w:styleId="cat-UserDefinedgrp-33rplc-36">
    <w:name w:val="cat-UserDefined grp-33 rplc-36"/>
    <w:basedOn w:val="DefaultParagraphFont"/>
  </w:style>
  <w:style w:type="character" w:customStyle="1" w:styleId="cat-UserDefinedgrp-35rplc-37">
    <w:name w:val="cat-UserDefined grp-35 rplc-37"/>
    <w:basedOn w:val="DefaultParagraphFont"/>
  </w:style>
  <w:style w:type="character" w:customStyle="1" w:styleId="cat-UserDefinedgrp-28rplc-41">
    <w:name w:val="cat-UserDefined grp-28 rplc-41"/>
    <w:basedOn w:val="DefaultParagraphFont"/>
  </w:style>
  <w:style w:type="character" w:customStyle="1" w:styleId="cat-UserDefinedgrp-36rplc-43">
    <w:name w:val="cat-UserDefined grp-36 rplc-43"/>
    <w:basedOn w:val="DefaultParagraphFont"/>
  </w:style>
  <w:style w:type="character" w:customStyle="1" w:styleId="cat-UserDefinedgrp-37rplc-48">
    <w:name w:val="cat-UserDefined grp-37 rplc-4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39487.162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